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rPr>
      </w:pPr>
      <w:r>
        <w:rPr>
          <w:rFonts w:cs="Times New Roman" w:ascii="Times New Roman" w:hAnsi="Times New Roman"/>
          <w:b/>
        </w:rPr>
        <w:t>ПРОЕКТ</w:t>
      </w:r>
    </w:p>
    <w:p>
      <w:pPr>
        <w:pStyle w:val="Normal"/>
        <w:spacing w:lineRule="auto" w:line="240" w:before="0" w:after="0"/>
        <w:jc w:val="center"/>
        <w:rPr>
          <w:rFonts w:ascii="Times New Roman" w:hAnsi="Times New Roman" w:cs="Times New Roman"/>
          <w:b/>
        </w:rPr>
      </w:pPr>
      <w:r>
        <w:rPr>
          <w:rFonts w:cs="Times New Roman" w:ascii="Times New Roman" w:hAnsi="Times New Roman"/>
          <w:b/>
        </w:rPr>
        <w:t>плана реструктуризации долгов гражданина</w:t>
      </w:r>
    </w:p>
    <w:p>
      <w:pPr>
        <w:pStyle w:val="Normal"/>
        <w:spacing w:lineRule="auto" w:line="240" w:before="0" w:after="0"/>
        <w:jc w:val="center"/>
        <w:rPr>
          <w:rFonts w:ascii="Times New Roman" w:hAnsi="Times New Roman" w:cs="Times New Roman"/>
          <w:b/>
        </w:rPr>
      </w:pPr>
      <w:r>
        <w:rPr>
          <w:rFonts w:cs="Times New Roman" w:ascii="Times New Roman" w:hAnsi="Times New Roman"/>
          <w:b/>
        </w:rPr>
        <w:t>Грибкова Бориса Леонидовича</w:t>
      </w:r>
    </w:p>
    <w:p>
      <w:pPr>
        <w:pStyle w:val="Normal"/>
        <w:spacing w:lineRule="auto" w:line="240" w:before="0" w:after="0"/>
        <w:ind w:firstLine="709"/>
        <w:jc w:val="center"/>
        <w:rPr/>
      </w:pPr>
      <w:r>
        <w:rPr>
          <w:rFonts w:cs="Times New Roman" w:ascii="Times New Roman" w:hAnsi="Times New Roman"/>
        </w:rPr>
        <w:t>(29.11.1957 г.р., место рождения: гор. Кинешма Ивановской обл., адрес регистрации: Севастополь г, Молодогвардейцев ул, д.24, кв.24, ИНН: 920253098509)</w:t>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По состоянию на 29 «ноября» 2024 года задолженность Грибкова Бориса Леонидовича (29.11.1957 г.р., место рождения: гор. Кинешма Ивановской обл., адрес регистрации: Севастополь г, Молодогвардейцев ул, д.24, кв.24, ИНН: 920253098509) составляет 934 699,25 </w:t>
      </w:r>
      <w:r>
        <w:rPr>
          <w:rFonts w:cs="Times New Roman" w:ascii="Times New Roman" w:hAnsi="Times New Roman"/>
          <w:b/>
        </w:rPr>
        <w:t>рублей,</w:t>
      </w:r>
      <w:r>
        <w:rPr>
          <w:rFonts w:cs="Times New Roman" w:ascii="Times New Roman" w:hAnsi="Times New Roman"/>
        </w:rPr>
        <w:t xml:space="preserve"> которая состоит из:</w:t>
      </w:r>
    </w:p>
    <w:tbl>
      <w:tblPr>
        <w:tblStyle w:val="a3"/>
        <w:tblW w:w="1020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0"/>
        <w:gridCol w:w="1640"/>
        <w:gridCol w:w="2203"/>
        <w:gridCol w:w="1593"/>
        <w:gridCol w:w="1250"/>
        <w:gridCol w:w="1919"/>
        <w:gridCol w:w="1134"/>
      </w:tblGrid>
      <w:tr>
        <w:trPr/>
        <w:tc>
          <w:tcPr>
            <w:tcW w:w="460" w:type="dxa"/>
            <w:tcBorders/>
            <w:vAlign w:val="center"/>
          </w:tcPr>
          <w:p>
            <w:pPr>
              <w:pStyle w:val="Normal"/>
              <w:widowControl/>
              <w:suppressAutoHyphens w:val="true"/>
              <w:spacing w:lineRule="auto" w:line="240" w:before="0" w:after="0"/>
              <w:jc w:val="center"/>
              <w:rPr>
                <w:rFonts w:ascii="Times New Roman" w:hAnsi="Times New Roman" w:cs="Times New Roman"/>
                <w:sz w:val="18"/>
                <w:szCs w:val="18"/>
              </w:rPr>
            </w:pPr>
            <w:r>
              <w:rPr>
                <w:rFonts w:eastAsia="Calibri" w:cs="Times New Roman" w:ascii="Times New Roman" w:hAnsi="Times New Roman"/>
                <w:kern w:val="0"/>
                <w:sz w:val="18"/>
                <w:szCs w:val="18"/>
                <w:lang w:val="ru-RU" w:eastAsia="en-US" w:bidi="ar-SA"/>
              </w:rPr>
              <w:t xml:space="preserve">№ </w:t>
            </w:r>
            <w:r>
              <w:rPr>
                <w:rFonts w:eastAsia="Calibri" w:cs="Times New Roman" w:ascii="Times New Roman" w:hAnsi="Times New Roman"/>
                <w:kern w:val="0"/>
                <w:sz w:val="18"/>
                <w:szCs w:val="18"/>
                <w:lang w:val="ru-RU" w:eastAsia="en-US" w:bidi="ar-SA"/>
              </w:rPr>
              <w:t>п/п</w:t>
            </w:r>
          </w:p>
        </w:tc>
        <w:tc>
          <w:tcPr>
            <w:tcW w:w="1640" w:type="dxa"/>
            <w:tcBorders/>
            <w:vAlign w:val="center"/>
          </w:tcPr>
          <w:p>
            <w:pPr>
              <w:pStyle w:val="Normal"/>
              <w:widowControl/>
              <w:suppressAutoHyphens w:val="true"/>
              <w:spacing w:lineRule="auto" w:line="240" w:before="0" w:after="0"/>
              <w:jc w:val="center"/>
              <w:rPr>
                <w:rFonts w:ascii="Times New Roman" w:hAnsi="Times New Roman" w:cs="Times New Roman"/>
                <w:sz w:val="18"/>
                <w:szCs w:val="18"/>
              </w:rPr>
            </w:pPr>
            <w:r>
              <w:rPr>
                <w:rFonts w:eastAsia="Calibri" w:cs="Times New Roman" w:ascii="Times New Roman" w:hAnsi="Times New Roman"/>
                <w:kern w:val="0"/>
                <w:sz w:val="18"/>
                <w:szCs w:val="18"/>
                <w:lang w:val="ru-RU" w:eastAsia="en-US" w:bidi="ar-SA"/>
              </w:rPr>
              <w:t>Наименование/Ф.И.О. кредитора</w:t>
            </w:r>
          </w:p>
        </w:tc>
        <w:tc>
          <w:tcPr>
            <w:tcW w:w="2203" w:type="dxa"/>
            <w:tcBorders/>
            <w:vAlign w:val="center"/>
          </w:tcPr>
          <w:p>
            <w:pPr>
              <w:pStyle w:val="Normal"/>
              <w:widowControl/>
              <w:suppressAutoHyphens w:val="true"/>
              <w:spacing w:lineRule="auto" w:line="240" w:before="0" w:after="0"/>
              <w:jc w:val="center"/>
              <w:rPr>
                <w:rFonts w:ascii="Times New Roman" w:hAnsi="Times New Roman" w:cs="Times New Roman"/>
                <w:sz w:val="18"/>
                <w:szCs w:val="18"/>
              </w:rPr>
            </w:pPr>
            <w:r>
              <w:rPr>
                <w:rFonts w:eastAsia="Calibri" w:cs="Times New Roman" w:ascii="Times New Roman" w:hAnsi="Times New Roman"/>
                <w:kern w:val="0"/>
                <w:sz w:val="18"/>
                <w:szCs w:val="18"/>
                <w:lang w:val="ru-RU" w:eastAsia="en-US" w:bidi="ar-SA"/>
              </w:rPr>
              <w:t>Основание обязательства</w:t>
            </w:r>
          </w:p>
        </w:tc>
        <w:tc>
          <w:tcPr>
            <w:tcW w:w="1593" w:type="dxa"/>
            <w:tcBorders/>
            <w:vAlign w:val="center"/>
          </w:tcPr>
          <w:p>
            <w:pPr>
              <w:pStyle w:val="Normal"/>
              <w:widowControl/>
              <w:suppressAutoHyphens w:val="true"/>
              <w:spacing w:lineRule="auto" w:line="240" w:before="0" w:after="0"/>
              <w:jc w:val="center"/>
              <w:rPr>
                <w:rFonts w:ascii="Times New Roman" w:hAnsi="Times New Roman" w:cs="Times New Roman"/>
                <w:sz w:val="18"/>
                <w:szCs w:val="18"/>
              </w:rPr>
            </w:pPr>
            <w:r>
              <w:rPr>
                <w:rFonts w:eastAsia="Calibri" w:cs="Times New Roman" w:ascii="Times New Roman" w:hAnsi="Times New Roman"/>
                <w:kern w:val="0"/>
                <w:sz w:val="18"/>
                <w:szCs w:val="18"/>
                <w:lang w:val="ru-RU" w:eastAsia="en-US" w:bidi="ar-SA"/>
              </w:rPr>
              <w:t>Сумма основной задолженности (руб.)</w:t>
            </w:r>
          </w:p>
        </w:tc>
        <w:tc>
          <w:tcPr>
            <w:tcW w:w="1250" w:type="dxa"/>
            <w:tcBorders/>
            <w:vAlign w:val="center"/>
          </w:tcPr>
          <w:p>
            <w:pPr>
              <w:pStyle w:val="Normal"/>
              <w:widowControl/>
              <w:suppressAutoHyphens w:val="true"/>
              <w:spacing w:lineRule="auto" w:line="240" w:before="0" w:after="0"/>
              <w:jc w:val="center"/>
              <w:rPr>
                <w:rFonts w:ascii="Times New Roman" w:hAnsi="Times New Roman" w:cs="Times New Roman"/>
                <w:sz w:val="18"/>
                <w:szCs w:val="18"/>
              </w:rPr>
            </w:pPr>
            <w:r>
              <w:rPr>
                <w:rFonts w:eastAsia="Calibri" w:cs="Times New Roman" w:ascii="Times New Roman" w:hAnsi="Times New Roman"/>
                <w:kern w:val="0"/>
                <w:sz w:val="18"/>
                <w:szCs w:val="18"/>
                <w:lang w:val="ru-RU" w:eastAsia="en-US" w:bidi="ar-SA"/>
              </w:rPr>
              <w:t>%, пени, штрафы за просрочку исполнения</w:t>
            </w:r>
          </w:p>
        </w:tc>
        <w:tc>
          <w:tcPr>
            <w:tcW w:w="1919" w:type="dxa"/>
            <w:tcBorders/>
            <w:vAlign w:val="center"/>
          </w:tcPr>
          <w:p>
            <w:pPr>
              <w:pStyle w:val="Normal"/>
              <w:widowControl/>
              <w:suppressAutoHyphens w:val="true"/>
              <w:spacing w:lineRule="auto" w:line="240" w:before="0" w:after="0"/>
              <w:jc w:val="center"/>
              <w:rPr>
                <w:rFonts w:ascii="Times New Roman" w:hAnsi="Times New Roman" w:cs="Times New Roman"/>
                <w:sz w:val="18"/>
                <w:szCs w:val="18"/>
              </w:rPr>
            </w:pPr>
            <w:r>
              <w:rPr>
                <w:rFonts w:eastAsia="Calibri" w:cs="Times New Roman" w:ascii="Times New Roman" w:hAnsi="Times New Roman"/>
                <w:kern w:val="0"/>
                <w:sz w:val="18"/>
                <w:szCs w:val="18"/>
                <w:lang w:val="ru-RU" w:eastAsia="en-US" w:bidi="ar-SA"/>
              </w:rPr>
              <w:t>Дата требования</w:t>
            </w:r>
          </w:p>
        </w:tc>
        <w:tc>
          <w:tcPr>
            <w:tcW w:w="1134" w:type="dxa"/>
            <w:tcBorders/>
            <w:vAlign w:val="center"/>
          </w:tcPr>
          <w:p>
            <w:pPr>
              <w:pStyle w:val="Normal"/>
              <w:widowControl/>
              <w:suppressAutoHyphens w:val="true"/>
              <w:spacing w:lineRule="auto" w:line="240" w:before="0" w:after="0"/>
              <w:jc w:val="center"/>
              <w:rPr>
                <w:rFonts w:ascii="Times New Roman" w:hAnsi="Times New Roman" w:cs="Times New Roman"/>
                <w:sz w:val="18"/>
                <w:szCs w:val="18"/>
              </w:rPr>
            </w:pPr>
            <w:r>
              <w:rPr>
                <w:rFonts w:eastAsia="Calibri" w:cs="Times New Roman" w:ascii="Times New Roman" w:hAnsi="Times New Roman"/>
                <w:kern w:val="0"/>
                <w:sz w:val="18"/>
                <w:szCs w:val="18"/>
                <w:lang w:val="ru-RU" w:eastAsia="en-US" w:bidi="ar-SA"/>
              </w:rPr>
              <w:t>Сведения о залоговых обязательств ах</w:t>
            </w:r>
          </w:p>
        </w:tc>
      </w:tr>
      <w:tr>
        <w:trPr/>
        <w:tc>
          <w:tcPr>
            <w:tcW w:w="460"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1</w:t>
            </w:r>
          </w:p>
        </w:tc>
        <w:tc>
          <w:tcPr>
            <w:tcW w:w="1640"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РНКБ Банк (ПАО)</w:t>
            </w:r>
          </w:p>
        </w:tc>
        <w:tc>
          <w:tcPr>
            <w:tcW w:w="2203"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Кредитный договор № 04145/15/279816-21 от 18.10.2021</w:t>
            </w:r>
          </w:p>
        </w:tc>
        <w:tc>
          <w:tcPr>
            <w:tcW w:w="1593"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883 360,35</w:t>
            </w:r>
          </w:p>
        </w:tc>
        <w:tc>
          <w:tcPr>
            <w:tcW w:w="1250"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51 338,9</w:t>
            </w:r>
          </w:p>
          <w:p>
            <w:pPr>
              <w:pStyle w:val="Normal"/>
              <w:widowControl/>
              <w:suppressAutoHyphens w:val="true"/>
              <w:spacing w:lineRule="auto" w:line="240" w:before="0" w:after="0"/>
              <w:jc w:val="both"/>
              <w:rPr>
                <w:rFonts w:ascii="Times New Roman" w:hAnsi="Times New Roman" w:cs="Times New Roman"/>
              </w:rPr>
            </w:pPr>
            <w:r>
              <w:rPr>
                <w:rFonts w:cs="Times New Roman" w:ascii="Times New Roman" w:hAnsi="Times New Roman"/>
              </w:rPr>
            </w:r>
          </w:p>
        </w:tc>
        <w:tc>
          <w:tcPr>
            <w:tcW w:w="1919" w:type="dxa"/>
            <w:tcBorders/>
          </w:tcPr>
          <w:p>
            <w:pPr>
              <w:pStyle w:val="Normal"/>
              <w:widowControl/>
              <w:suppressAutoHyphens w:val="true"/>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Определение Арбитражного суда города Севастополя от 08.11.2022 по делу №А84-8272/22</w:t>
            </w:r>
          </w:p>
        </w:tc>
        <w:tc>
          <w:tcPr>
            <w:tcW w:w="1134" w:type="dxa"/>
            <w:tcBorders/>
          </w:tcPr>
          <w:p>
            <w:pPr>
              <w:pStyle w:val="Normal"/>
              <w:widowControl/>
              <w:suppressAutoHyphens w:val="true"/>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w:t>
            </w:r>
          </w:p>
        </w:tc>
      </w:tr>
    </w:tbl>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Должник имеет источник дохода на дату предоставления плана реструктуризации его долгов. Должник не имеет неснятой или непогашенной судимости за совершение умышленного преступления в сфере экономики и до даты принятия заявления о признании гражданина банкротом истек срок, в течение которого гражданин считается подвергнутым административному наказанию за мелкое хищение, умышленное уничтожение или повреждение имущества либо за фиктивное или преднамеренное банкротство;</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Должник не признавался банкротом в </w:t>
      </w:r>
      <w:bookmarkStart w:id="0" w:name="_GoBack"/>
      <w:bookmarkEnd w:id="0"/>
      <w:r>
        <w:rPr>
          <w:rFonts w:cs="Times New Roman" w:ascii="Times New Roman" w:hAnsi="Times New Roman"/>
        </w:rPr>
        <w:t xml:space="preserve">течение пяти лет, предшествующих представлению плана реструктуризации его долгов;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План реструктуризации долгов гражданина в отношении его задолженности не утверждался в течение восьми лет, предшествующих представлению этого плана.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Подтверждением платежеспособности должника  является тот факт что в период с 11.01.2024 г. по 11.11.2024 г. было внесено 565 702,10 руб., что подтверждается выпиской по счету.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Процедура реструктуризации - реабилитационная процедура, в целях восстановления платежеспособности гражданина и погашения задолженности перед кредиторами в соответствии с планом реструктуризации долгов.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Срок настоящего плана реструктуризации долгов гражданина составляет 19 месяцев. Полное погашение задолженности будет осуществлено в течении 19 месяцев, согласно утверждённого арбитражным судом данного плана. В случае выпадения дня оплаты кредиторских требований на выходной день, Должник оплачивает требования кредиторов в первый рабочий день (понедельник).</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Статья 213.11. Последствия введения реструктуризации долгов гражданина Федерального закона от 26.10.2002 № 127 - ФЗ «О несостоятельности (банкротстве)» п. 2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наступают следующие последствия: 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Должник вправе произвести досрочное погашение задолженности.</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2. Порядок и сроки погашения в денежной форме требований кредиторов и уполномоченного органа.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В настоящее время в реестр требований кредиторов включены следующие кредиторы: РНКБ Банк (ПАО). общая сумма задолженности составляет 934 699,25 (Девятьсот тридцать четыре шестьсот девяносто девять тысяч) рублей 25 копеек.</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В отношении Должника применяется рассрочка погашения задолженности в соответствии с графиками погашения задолженности, установленными настоящим Планом реструктуризации.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В рамках дела о банкротстве Должника между Грибковым Б.Л. и кредиторами положения о погашении требований в не полном объеме не заключалось, в связи с чем задолженность подлежит погашению в полном объеме.</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Для целей оплаты задолженности и процентов перед конкурсными кредиторами устанавливается следующий порядок и сроки погашения.</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План реструктуризации долгов предусматривает погашение требований конкурсных кредиторов пропорционально сумме требований кредиторов, включенных в план реструктуризации долгов гражданина.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Требования кредиторов, перед которыми гражданин несет ответственность за причинение вреда и жизни здоровью, а также требования о взыскании алиментов, о выплате выходных пособий, об оплате труда лиц, работающих или работавших по трудовому договору, о выплате вознаграждений авторам результатов интеллектуальной деятельности не включенные в данный план – такие кредиторы у Должника отсутствуют.</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2.1 Кредитор РНКБ Банк (ПАО) – сумма задолженности </w:t>
      </w:r>
      <w:r>
        <w:rPr>
          <w:rFonts w:cs="Times New Roman" w:ascii="Times New Roman" w:hAnsi="Times New Roman"/>
          <w:shd w:fill="FFFF00" w:val="clear"/>
        </w:rPr>
        <w:t>934 699,25 рублей.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График погашения задолженности:</w:t>
      </w:r>
    </w:p>
    <w:tbl>
      <w:tblPr>
        <w:tblW w:w="9975" w:type="dxa"/>
        <w:jc w:val="left"/>
        <w:tblInd w:w="47" w:type="dxa"/>
        <w:tblLayout w:type="fixed"/>
        <w:tblCellMar>
          <w:top w:w="0" w:type="dxa"/>
          <w:left w:w="0" w:type="dxa"/>
          <w:bottom w:w="0" w:type="dxa"/>
          <w:right w:w="0" w:type="dxa"/>
        </w:tblCellMar>
      </w:tblPr>
      <w:tblGrid>
        <w:gridCol w:w="580"/>
        <w:gridCol w:w="2988"/>
        <w:gridCol w:w="2218"/>
        <w:gridCol w:w="4188"/>
      </w:tblGrid>
      <w:tr>
        <w:trPr/>
        <w:tc>
          <w:tcPr>
            <w:tcW w:w="580" w:type="dxa"/>
            <w:tcBorders>
              <w:top w:val="single" w:sz="16" w:space="0" w:color="000000"/>
              <w:bottom w:val="single" w:sz="6" w:space="0" w:color="000000"/>
            </w:tcBorders>
          </w:tcPr>
          <w:p>
            <w:pPr>
              <w:pStyle w:val="Style16"/>
              <w:spacing w:before="0" w:after="160"/>
              <w:jc w:val="left"/>
              <w:rPr>
                <w:rFonts w:ascii="Times New Roman" w:hAnsi="Times New Roman"/>
                <w:b/>
                <w:bCs/>
                <w:i w:val="false"/>
                <w:i w:val="false"/>
                <w:iCs w:val="false"/>
                <w:strike w:val="false"/>
                <w:dstrike w:val="false"/>
                <w:outline w:val="false"/>
                <w:shadow w:val="false"/>
                <w:color w:val="000000"/>
                <w:sz w:val="16"/>
                <w:szCs w:val="16"/>
                <w:u w:val="none"/>
              </w:rPr>
            </w:pPr>
            <w:r>
              <w:rPr>
                <w:rFonts w:ascii="Times New Roman" w:hAnsi="Times New Roman"/>
                <w:b/>
                <w:bCs/>
                <w:i w:val="false"/>
                <w:iCs w:val="false"/>
                <w:strike w:val="false"/>
                <w:dstrike w:val="false"/>
                <w:outline w:val="false"/>
                <w:shadow w:val="false"/>
                <w:color w:val="000000"/>
                <w:sz w:val="16"/>
                <w:szCs w:val="16"/>
                <w:u w:val="none"/>
              </w:rPr>
              <w:t>№</w:t>
            </w:r>
          </w:p>
        </w:tc>
        <w:tc>
          <w:tcPr>
            <w:tcW w:w="2988" w:type="dxa"/>
            <w:tcBorders>
              <w:top w:val="single" w:sz="16" w:space="0" w:color="000000"/>
              <w:bottom w:val="single" w:sz="6" w:space="0" w:color="000000"/>
            </w:tcBorders>
          </w:tcPr>
          <w:p>
            <w:pPr>
              <w:pStyle w:val="Style16"/>
              <w:spacing w:before="0" w:after="160"/>
              <w:jc w:val="left"/>
              <w:rPr>
                <w:rFonts w:ascii="Times New Roman" w:hAnsi="Times New Roman"/>
                <w:b/>
                <w:bCs/>
                <w:i w:val="false"/>
                <w:i w:val="false"/>
                <w:iCs w:val="false"/>
                <w:strike w:val="false"/>
                <w:dstrike w:val="false"/>
                <w:outline w:val="false"/>
                <w:shadow w:val="false"/>
                <w:color w:val="000000"/>
                <w:sz w:val="16"/>
                <w:szCs w:val="16"/>
                <w:u w:val="none"/>
              </w:rPr>
            </w:pPr>
            <w:r>
              <w:rPr>
                <w:rFonts w:ascii="Times New Roman" w:hAnsi="Times New Roman"/>
                <w:b/>
                <w:bCs/>
                <w:i w:val="false"/>
                <w:iCs w:val="false"/>
                <w:strike w:val="false"/>
                <w:dstrike w:val="false"/>
                <w:outline w:val="false"/>
                <w:shadow w:val="false"/>
                <w:color w:val="000000"/>
                <w:sz w:val="16"/>
                <w:szCs w:val="16"/>
                <w:u w:val="none"/>
              </w:rPr>
              <w:t>Дата платежа</w:t>
            </w:r>
          </w:p>
        </w:tc>
        <w:tc>
          <w:tcPr>
            <w:tcW w:w="2218" w:type="dxa"/>
            <w:tcBorders>
              <w:top w:val="single" w:sz="16" w:space="0" w:color="000000"/>
              <w:bottom w:val="single" w:sz="6" w:space="0" w:color="000000"/>
            </w:tcBorders>
          </w:tcPr>
          <w:p>
            <w:pPr>
              <w:pStyle w:val="Style16"/>
              <w:spacing w:before="0" w:after="160"/>
              <w:jc w:val="left"/>
              <w:rPr>
                <w:rFonts w:ascii="Times New Roman" w:hAnsi="Times New Roman"/>
                <w:b/>
                <w:bCs/>
                <w:i w:val="false"/>
                <w:i w:val="false"/>
                <w:iCs w:val="false"/>
                <w:strike w:val="false"/>
                <w:dstrike w:val="false"/>
                <w:outline w:val="false"/>
                <w:shadow w:val="false"/>
                <w:color w:val="000000"/>
                <w:sz w:val="16"/>
                <w:szCs w:val="16"/>
                <w:u w:val="none"/>
              </w:rPr>
            </w:pPr>
            <w:r>
              <w:rPr>
                <w:rFonts w:ascii="Times New Roman" w:hAnsi="Times New Roman"/>
                <w:b/>
                <w:bCs/>
                <w:i w:val="false"/>
                <w:iCs w:val="false"/>
                <w:strike w:val="false"/>
                <w:dstrike w:val="false"/>
                <w:outline w:val="false"/>
                <w:shadow w:val="false"/>
                <w:color w:val="000000"/>
                <w:sz w:val="16"/>
                <w:szCs w:val="16"/>
                <w:u w:val="none"/>
              </w:rPr>
              <w:t xml:space="preserve"> </w:t>
            </w:r>
            <w:r>
              <w:rPr>
                <w:rFonts w:ascii="Times New Roman" w:hAnsi="Times New Roman"/>
                <w:b/>
                <w:bCs/>
                <w:i w:val="false"/>
                <w:iCs w:val="false"/>
                <w:strike w:val="false"/>
                <w:dstrike w:val="false"/>
                <w:outline w:val="false"/>
                <w:shadow w:val="false"/>
                <w:color w:val="000000"/>
                <w:sz w:val="16"/>
                <w:szCs w:val="16"/>
                <w:u w:val="none"/>
              </w:rPr>
              <w:t>Сумма платежа</w:t>
            </w:r>
          </w:p>
        </w:tc>
        <w:tc>
          <w:tcPr>
            <w:tcW w:w="4188" w:type="dxa"/>
            <w:tcBorders>
              <w:top w:val="single" w:sz="16" w:space="0" w:color="000000"/>
              <w:bottom w:val="single" w:sz="6" w:space="0" w:color="000000"/>
            </w:tcBorders>
          </w:tcPr>
          <w:p>
            <w:pPr>
              <w:pStyle w:val="Style16"/>
              <w:spacing w:before="0" w:after="160"/>
              <w:jc w:val="left"/>
              <w:rPr>
                <w:rFonts w:ascii="Times New Roman" w:hAnsi="Times New Roman"/>
                <w:b/>
                <w:bCs/>
                <w:i w:val="false"/>
                <w:i w:val="false"/>
                <w:iCs w:val="false"/>
                <w:strike w:val="false"/>
                <w:dstrike w:val="false"/>
                <w:outline w:val="false"/>
                <w:shadow w:val="false"/>
                <w:color w:val="000000"/>
                <w:sz w:val="16"/>
                <w:szCs w:val="16"/>
                <w:u w:val="none"/>
              </w:rPr>
            </w:pPr>
            <w:r>
              <w:rPr>
                <w:rFonts w:ascii="Times New Roman" w:hAnsi="Times New Roman"/>
                <w:b/>
                <w:bCs/>
                <w:i w:val="false"/>
                <w:iCs w:val="false"/>
                <w:strike w:val="false"/>
                <w:dstrike w:val="false"/>
                <w:outline w:val="false"/>
                <w:shadow w:val="false"/>
                <w:color w:val="000000"/>
                <w:sz w:val="16"/>
                <w:szCs w:val="16"/>
                <w:u w:val="none"/>
              </w:rPr>
              <w:t>Остаток задолженности</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934699,25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884699,25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2</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834699,25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3</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784699,25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4</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734699,25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684699,25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6</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634699,25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7</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584699,25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8</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9</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484699,25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10</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434699,25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11</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384699,25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12</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334699,25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13</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284699,25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14</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234699,25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184699,25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16</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17</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84699,25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18</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-50 000,00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34699,25</w:t>
            </w:r>
          </w:p>
        </w:tc>
      </w:tr>
      <w:tr>
        <w:trPr/>
        <w:tc>
          <w:tcPr>
            <w:tcW w:w="580"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19</w:t>
            </w:r>
          </w:p>
        </w:tc>
        <w:tc>
          <w:tcPr>
            <w:tcW w:w="29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15 число ежемесячно</w:t>
            </w:r>
          </w:p>
        </w:tc>
        <w:tc>
          <w:tcPr>
            <w:tcW w:w="221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-34699,25 руб.</w:t>
            </w:r>
          </w:p>
        </w:tc>
        <w:tc>
          <w:tcPr>
            <w:tcW w:w="4188" w:type="dxa"/>
            <w:tcBorders>
              <w:bottom w:val="single" w:sz="6" w:space="0" w:color="999999"/>
            </w:tcBorders>
            <w:shd w:fill="EEEEEE" w:val="clear"/>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0</w:t>
            </w:r>
          </w:p>
        </w:tc>
      </w:tr>
      <w:tr>
        <w:trPr/>
        <w:tc>
          <w:tcPr>
            <w:tcW w:w="580" w:type="dxa"/>
            <w:tcBorders>
              <w:top w:val="single" w:sz="6" w:space="0" w:color="999999"/>
              <w:bottom w:val="single" w:sz="16" w:space="0" w:color="000000"/>
            </w:tcBorders>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r>
          </w:p>
        </w:tc>
        <w:tc>
          <w:tcPr>
            <w:tcW w:w="2988" w:type="dxa"/>
            <w:tcBorders>
              <w:top w:val="single" w:sz="6" w:space="0" w:color="999999"/>
              <w:bottom w:val="single" w:sz="16" w:space="0" w:color="000000"/>
            </w:tcBorders>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r>
          </w:p>
        </w:tc>
        <w:tc>
          <w:tcPr>
            <w:tcW w:w="2218" w:type="dxa"/>
            <w:tcBorders>
              <w:top w:val="single" w:sz="6" w:space="0" w:color="999999"/>
              <w:bottom w:val="single" w:sz="16" w:space="0" w:color="000000"/>
            </w:tcBorders>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r>
          </w:p>
        </w:tc>
        <w:tc>
          <w:tcPr>
            <w:tcW w:w="4188" w:type="dxa"/>
            <w:tcBorders>
              <w:top w:val="single" w:sz="6" w:space="0" w:color="999999"/>
              <w:bottom w:val="single" w:sz="16" w:space="0" w:color="000000"/>
            </w:tcBorders>
          </w:tcPr>
          <w:p>
            <w:pPr>
              <w:pStyle w:val="Style16"/>
              <w:spacing w:before="0" w:after="160"/>
              <w:jc w:val="center"/>
              <w:rPr>
                <w:rFonts w:ascii="Times New Roman" w:hAnsi="Times New Roman"/>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r>
          </w:p>
        </w:tc>
      </w:tr>
    </w:tbl>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3. Последствия утверждения настоящего плана реструктуризации долгов гражданина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3.1 Конкурсные кредиторы и уполномоченный орган, требования которых не включены в план реструктуризации долгов гражданина, вправе предъявлять свои требования в течение срока, на который утвержден указанный план, в порядке, установленном ФЗ «о несостоятельности (банкротстве)».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3.2. Кредиторы не вправе предъявлять требования о возмещении убытков, понесенных ими в связи с утверждением настоящего плана.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3.3. Требования кредиторов, не включенные в указанный план, могут быть предъявлены к гражданину в порядке, установленном ФЗ «О несостоятельности (банкротстве)».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3.4. Прекращение денежных обязательств гражданина путем зачета встречного однородного требования не допускаются.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3.5. Неустойки (штрафы, пени) и иные санкции за неисполнение или ненадлежащее исполнение денежных обязательств и обязательных платежей, требования об уплате которых включены в указанный план, а также подлежащие уплате проценты за такое неисполнение или ненадлежащие исполнение не начисляются, за исключением текущих платежей.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4. Порядок внесения изменений в план реструктуризации долгов.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4.1 Гражданин либо представитель кредитора вправе направить финансовому управляющему предложения о внесении изменений в план реструктуризации долгов.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4.2 Изменения, которые вносятся в план реструктуризации долгов, должны быть одобрены собранием кредиторов большинством голосов от общего числа голосов конкурсных кредиторов, требования которых включены в реестр требований кредиторов. По результатам рассмотрения изменений, которые вносятся в план реструктуризации долгов гражданина, собрание кредиторов принимает решение об одобрении вносимых изменений или отказе в одобрении вносимых изменений.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4.3 Изменения, которые вносятся в план реструктуризации долгов гражданина, подлежат утверждению арбитражным судом</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5. Права и обязанности Сторон.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5.1. Должник обязан в трехдневный срок уведомить Кредиторов об изменении адреса регистрации/местонахождения/почтового адреса/места жительства, места работы, фамилии или имени и о возникновения обстоятельств, способных повлиять на выполнение обязательств по плану реструктуризации долгов.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5.2. В случае существенного изменения имущественного положения Должников, а именно: увольнение, смена места работы, Должник обязан уведомить конкурсных кредиторов и уполномоченный орган в следующем порядке: направить уведомление заказными письмами в течении 15 дней.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5.3. При изменении величины прожиточного минимума, установленного для конкретной категории населения, а также при изменении уровня дохода гражданина в период действия плана реструктуризации долгов должник обязан уведомить кредиторов о вышеуказанных обстоятельствах, для увеличения срока действия плана реструктуризации с последующим перерасчетом ежемесячного платежа с учетом представленных должником документов, однако срок реализации плана реструктуризации долгов гражданина не может превышать более чем три года (пункт 2 статьи 213.14 Закона о банкротстве).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5.4. Если должником своевременно не осуществлен 1 (один) платеж, предусмотренный планом реструктуризации, либо сумма поступления менее суммы, предусмотренной графиком платежей, то кредитор уведомляет об этом финансового управляющего. Взаимодействие с финансовым управляющим осуществляется путем проведения телефонных переговоров, направлением СМС-сообщений, электронных писем, и др.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5.5. Если должником не осуществлены 2 платежа (в рамках непрерывного срока просроченной задолженности), либо произведены поступления менее суммы, предусмотренной планом реструктуризации, либо осуществлены иные существенные нарушения, то Кредиторы вправе обратиться в суд с ходатайством об отмене плана реструктуризации долгов в связи с нарушением условий плана реструктуризации и признании гражданина банкротом.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5.6. В случае несообщения или несвоевременного сообщения Кредиторами своих банковских реквизитов в сроки, предусмотренные настоящим законодательством. Должник вправе перечислить денежные средства по реквизитам Кредиторов, которые известны Должнику.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5.7. Об изменении банковских реквизитов Кредиторы обязаны уведомить Должника и финансового управляющего в течение 7 (семи) календарных дней с момента их изменения.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5.8. Должник вправе производить погашение задолженности перед Кредиторами путём передачи наличных денежных средств (внесения в кассу конкурсного кредитора) или путём внесения в кассу банка для дальнейшего зачисления на счёт конкурсного кредитора.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5.9. В случае существенного изменения имущественного положения Должника он обязан письменно уведомить об этом конкурсных кредиторов в течении 15-ти дней с даты наступления такого изменения.</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5.10. Под существенным изменением имущественного положения Должника, также понимается снижение его среднего ежемесячного дохода в течении трёх месяцев после всех удержаний до суммы менее 10 000 рублей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6. Условия досрочного погашения.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6.1. Должник вправе досрочно погасить задолженность или его часть с предварительного уведомления Кредитора. Если дата погашения задолженности по плану реструктуризации, предусмотренная Графиком платежей, приходится на нерабочий (выходной, праздничный) день, то платеж может быть произведен в период с даты, предусмотренной Графиком платежей, по первый рабочий день, следующий за нерабочим днем.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6.2. Должник вправе в любой момент осуществить досрочное полное или частичное погашение задолженности перед Кредиторами вне зависимости от согласованного Сторонами графиков платежей. При этом, при осуществлении Должником частичного досрочного погашения возможно предоставление Кредиторами по запросу Должника новых графиков погашения, без необходимости его утверждения в суде. В данном случае Графики погашения задолженности будут изменены только исходя из пересчета суммы задолженности по плану реструктуризации долгов на размер суммы, досрочно погашенной Должником/третьими лицами, а также суммы процентов, предусмотренных планом реструктуризации долгов (при погашении суммы задолженности по основному долгу). Сроки и даты платежей, предусмотренные планом реструктуризации, изменению не подлежат.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6.3. При осуществлении досрочного погашения части Общей задолженности по плану реструктуризации долгов не в платежную дату денежные средства, направленные Должниками на досрочное погашение части Общей задолженности по плану реструктуризации долгов, направляются в соответствии с очередностью платежей, указанной в плане реструктуризации долгов гражданина.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6.4. Досрочное погашение задолженности допускается с условием соблюдения одновременности и пропорциональности удовлетворения требований Кредиторов.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6.5. В случае частичного досрочного погашения задолженности по плану реструктуризации долгов сумма произведённого платежа в части, превышающей размер ежемесячного очередного платежа, засчитывается в счёт полного или частичного погашения следующего по сроку платежа.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7. Заключительные положения.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7.1. Настоящей план реструктуризации долгов гражданина вступает в силу с даты его утверждения арбитражным судом.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7.2. Конкурсные кредиторы и уполномоченные органы, требования которых не включены в план реструктуризации долгов, в соответствии с п. 4 ст. 213.19 Закона о банкротстве вправе предъявить свои требования в течении срока, на который утвержден план, в порядке, установленном Законом о банкротстве. В случае, если требования соответствующих кредиторов будут установлены судом, в план реструктуризации долгов могут быть внесены изменения в порядке, установленном ст. 213.20 Закона о банкротстве.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7.3. Кредиторы, требования которых не включены в реестр требований кредиторов вправе ходатайствовать о включении их требований в план реструктуризации долгов после его утверждения в Арбитражном суде.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7.4. Обязательства Должника считаются надлежаще</w:t>
      </w:r>
      <w:r>
        <w:rPr>
          <w:rFonts w:cs="Times New Roman" w:ascii="Times New Roman" w:hAnsi="Times New Roman"/>
        </w:rPr>
        <w:t>е</w:t>
      </w:r>
      <w:r>
        <w:rPr>
          <w:rFonts w:cs="Times New Roman" w:ascii="Times New Roman" w:hAnsi="Times New Roman"/>
        </w:rPr>
        <w:t xml:space="preserve"> и полностью выполненными после возврата Кредиторам суммы Общей задолженности по плану реструктуризации долгов, процентов по плану реструктуризации, неустоек, судебных и расходов по иным обязательствам, определяемым на дату погашения планом реструктуризации долгов гражданина.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7.5. План реструктуризации долгов не нарушает права и законные интересы других лиц и не противоречит закону.</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7.6.  Согласно ст. 20.6. </w:t>
      </w:r>
      <w:r>
        <w:rPr>
          <w:rFonts w:eastAsia="Calibri" w:cs="Times New Roman" w:ascii="Times New Roman" w:hAnsi="Times New Roman" w:eastAsiaTheme="minorHAnsi"/>
          <w:color w:val="auto"/>
          <w:kern w:val="0"/>
          <w:sz w:val="22"/>
          <w:szCs w:val="22"/>
          <w:lang w:val="ru-RU" w:eastAsia="en-US" w:bidi="ar-SA"/>
        </w:rPr>
        <w:t xml:space="preserve">п. 17 </w:t>
      </w:r>
      <w:r>
        <w:rPr>
          <w:rFonts w:eastAsia="Calibri" w:cs="Times New Roman" w:ascii="Times New Roman" w:hAnsi="Times New Roman" w:eastAsiaTheme="minorHAnsi"/>
          <w:color w:val="auto"/>
          <w:kern w:val="0"/>
          <w:sz w:val="22"/>
          <w:szCs w:val="22"/>
          <w:lang w:val="ru-RU" w:eastAsia="en-US" w:bidi="ar-SA"/>
        </w:rPr>
        <w:t xml:space="preserve"> ФЗ «о несостоятельности (банкротстве)» с</w:t>
      </w:r>
      <w:r>
        <w:rPr>
          <w:rFonts w:eastAsia="Calibri" w:cs="Times New Roman" w:ascii="Times New Roman" w:hAnsi="Times New Roman" w:eastAsiaTheme="minorHAnsi"/>
          <w:color w:val="auto"/>
          <w:kern w:val="0"/>
          <w:sz w:val="22"/>
          <w:szCs w:val="22"/>
          <w:lang w:val="ru-RU" w:eastAsia="en-US" w:bidi="ar-SA"/>
        </w:rPr>
        <w:t>умма процентов по вознаграждению финансового управляющего в случае исполнения гражданином утвержденного арбитражным судом плана реструктуризации его долгов составляет семь процентов размера удовлетворенных требований кредиторов.</w:t>
      </w:r>
    </w:p>
    <w:sectPr>
      <w:type w:val="nextPage"/>
      <w:pgSz w:w="11906" w:h="16838"/>
      <w:pgMar w:left="1134" w:right="566"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Open Sans">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 w:type="paragraph" w:styleId="Style16">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5f52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260</TotalTime>
  <Application>LibreOffice/7.6.7.2$Linux_X86_64 LibreOffice_project/60$Build-2</Application>
  <AppVersion>15.0000</AppVersion>
  <Pages>4</Pages>
  <Words>1721</Words>
  <Characters>12071</Characters>
  <CharactersWithSpaces>13680</CharactersWithSpaces>
  <Paragraphs>151</Paragraphs>
  <Company>RNCB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2024-08-15T07:31:00Z</dcterms:created>
  <dc:creator>Сысак Татьяна Ивановна</dc:creator>
  <dc:description/>
  <dc:language>ru-RU</dc:language>
  <cp:lastModifiedBy/>
  <dcterms:modified xsi:type="dcterms:W3CDTF">2024-12-09T11:37:16Z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